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713" w:rsidRPr="00B71713" w:rsidRDefault="00B71713" w:rsidP="00B71713">
      <w:pPr>
        <w:shd w:val="clear" w:color="auto" w:fill="FFFFFF"/>
        <w:spacing w:before="75" w:after="150" w:line="240" w:lineRule="auto"/>
        <w:jc w:val="both"/>
        <w:outlineLvl w:val="0"/>
        <w:rPr>
          <w:rFonts w:ascii="Arial" w:eastAsia="Times New Roman" w:hAnsi="Arial" w:cs="Arial"/>
          <w:b/>
          <w:bCs/>
          <w:color w:val="005284"/>
          <w:kern w:val="36"/>
          <w:sz w:val="23"/>
          <w:szCs w:val="23"/>
        </w:rPr>
      </w:pPr>
      <w:r w:rsidRPr="00B71713">
        <w:rPr>
          <w:rFonts w:ascii="Arial" w:eastAsia="Times New Roman" w:hAnsi="Arial" w:cs="Arial"/>
          <w:b/>
          <w:bCs/>
          <w:color w:val="005284"/>
          <w:kern w:val="36"/>
          <w:sz w:val="23"/>
          <w:szCs w:val="23"/>
        </w:rPr>
        <w:t>Công khai thông tin của người phải thi hành án chưa có điều kiện thi hành</w:t>
      </w:r>
    </w:p>
    <w:p w:rsidR="00B71713" w:rsidRPr="00B71713" w:rsidRDefault="00B71713" w:rsidP="00B71713">
      <w:pPr>
        <w:spacing w:after="0" w:line="240" w:lineRule="auto"/>
        <w:rPr>
          <w:rFonts w:eastAsia="Times New Roman" w:cs="Times New Roman"/>
          <w:sz w:val="24"/>
          <w:szCs w:val="24"/>
        </w:rPr>
      </w:pPr>
    </w:p>
    <w:p w:rsidR="00B71713" w:rsidRPr="00B71713" w:rsidRDefault="00B71713" w:rsidP="00B71713">
      <w:pPr>
        <w:shd w:val="clear" w:color="auto" w:fill="FFFFFF"/>
        <w:spacing w:after="0" w:line="240" w:lineRule="auto"/>
        <w:jc w:val="both"/>
        <w:rPr>
          <w:rFonts w:eastAsia="Times New Roman" w:cs="Times New Roman"/>
          <w:color w:val="333333"/>
          <w:sz w:val="24"/>
          <w:szCs w:val="24"/>
        </w:rPr>
      </w:pPr>
      <w:r w:rsidRPr="00B71713">
        <w:rPr>
          <w:rFonts w:eastAsia="Times New Roman" w:cs="Times New Roman"/>
          <w:color w:val="333333"/>
          <w:sz w:val="24"/>
          <w:szCs w:val="24"/>
        </w:rPr>
        <w:t>Ngày 01 tháng 02 năm 2016, Bộ Tư pháp đã ban hành </w:t>
      </w:r>
      <w:hyperlink r:id="rId4" w:history="1">
        <w:r w:rsidRPr="00B71713">
          <w:rPr>
            <w:rFonts w:eastAsia="Times New Roman" w:cs="Times New Roman"/>
            <w:color w:val="663399"/>
            <w:sz w:val="24"/>
            <w:szCs w:val="24"/>
          </w:rPr>
          <w:t>Thông tư số 01/2016/TT-BTP</w:t>
        </w:r>
      </w:hyperlink>
      <w:r w:rsidRPr="00B71713">
        <w:rPr>
          <w:rFonts w:eastAsia="Times New Roman" w:cs="Times New Roman"/>
          <w:color w:val="333333"/>
          <w:sz w:val="24"/>
          <w:szCs w:val="24"/>
        </w:rPr>
        <w:t>hướng dẫn thực hiện một số thủ tục về quản lý hành chính và biểu mẫu nghiệp vụ trong thi hành án dân sự.  </w:t>
      </w:r>
    </w:p>
    <w:p w:rsidR="00B71713" w:rsidRPr="00B71713" w:rsidRDefault="00B71713" w:rsidP="00B71713">
      <w:pPr>
        <w:shd w:val="clear" w:color="auto" w:fill="FFFFFF"/>
        <w:spacing w:after="0" w:line="257" w:lineRule="atLeast"/>
        <w:jc w:val="both"/>
        <w:rPr>
          <w:rFonts w:ascii="Helvetica" w:eastAsia="Times New Roman" w:hAnsi="Helvetica" w:cs="Helvetica"/>
          <w:color w:val="333333"/>
          <w:sz w:val="18"/>
          <w:szCs w:val="18"/>
        </w:rPr>
      </w:pPr>
      <w:r w:rsidRPr="00B71713">
        <w:rPr>
          <w:rFonts w:ascii="Helvetica" w:eastAsia="Times New Roman" w:hAnsi="Helvetica" w:cs="Helvetica"/>
          <w:color w:val="333333"/>
          <w:sz w:val="18"/>
          <w:szCs w:val="18"/>
        </w:rPr>
        <w:t> </w:t>
      </w:r>
    </w:p>
    <w:p w:rsidR="00B71713" w:rsidRPr="00B71713" w:rsidRDefault="00B71713" w:rsidP="00B71713">
      <w:pPr>
        <w:shd w:val="clear" w:color="auto" w:fill="FFFFFF"/>
        <w:spacing w:before="120" w:after="120" w:line="257" w:lineRule="atLeast"/>
        <w:jc w:val="both"/>
        <w:rPr>
          <w:rFonts w:eastAsia="Times New Roman" w:cs="Times New Roman"/>
          <w:color w:val="333333"/>
          <w:sz w:val="24"/>
          <w:szCs w:val="24"/>
        </w:rPr>
      </w:pPr>
      <w:r w:rsidRPr="00B71713">
        <w:rPr>
          <w:rFonts w:ascii="Arial" w:eastAsia="Times New Roman" w:hAnsi="Arial" w:cs="Arial"/>
          <w:color w:val="333333"/>
          <w:sz w:val="20"/>
          <w:szCs w:val="20"/>
        </w:rPr>
        <w:t>Thông tư gồm 5 chương 38 điều</w:t>
      </w:r>
      <w:r w:rsidRPr="00B71713">
        <w:rPr>
          <w:rFonts w:ascii="Arial" w:eastAsia="Times New Roman" w:hAnsi="Arial" w:cs="Arial"/>
          <w:color w:val="333333"/>
          <w:sz w:val="20"/>
        </w:rPr>
        <w:t> </w:t>
      </w:r>
      <w:r w:rsidRPr="00B71713">
        <w:rPr>
          <w:rFonts w:ascii="Arial" w:eastAsia="Times New Roman" w:hAnsi="Arial" w:cs="Arial"/>
          <w:color w:val="333333"/>
          <w:sz w:val="20"/>
          <w:szCs w:val="20"/>
          <w:lang w:val="vi-VN"/>
        </w:rPr>
        <w:t>hướng dẫn</w:t>
      </w:r>
      <w:r w:rsidRPr="00B71713">
        <w:rPr>
          <w:rFonts w:ascii="Arial" w:eastAsia="Times New Roman" w:hAnsi="Arial" w:cs="Arial"/>
          <w:color w:val="333333"/>
          <w:sz w:val="20"/>
        </w:rPr>
        <w:t> </w:t>
      </w:r>
      <w:r w:rsidRPr="00B71713">
        <w:rPr>
          <w:rFonts w:ascii="Arial" w:eastAsia="Times New Roman" w:hAnsi="Arial" w:cs="Arial"/>
          <w:color w:val="333333"/>
          <w:sz w:val="20"/>
          <w:szCs w:val="20"/>
        </w:rPr>
        <w:t>một số thủ tục về quản lý hành chính và biểu mẫu nghiệp vụ trong thi hành án dân sự, bao gồm:</w:t>
      </w:r>
    </w:p>
    <w:p w:rsidR="00B71713" w:rsidRPr="00B71713" w:rsidRDefault="00B71713" w:rsidP="00B71713">
      <w:pPr>
        <w:shd w:val="clear" w:color="auto" w:fill="FFFFFF"/>
        <w:spacing w:before="120" w:after="120" w:line="257" w:lineRule="atLeast"/>
        <w:jc w:val="both"/>
        <w:rPr>
          <w:rFonts w:eastAsia="Times New Roman" w:cs="Times New Roman"/>
          <w:color w:val="333333"/>
          <w:sz w:val="24"/>
          <w:szCs w:val="24"/>
        </w:rPr>
      </w:pPr>
      <w:r w:rsidRPr="00B71713">
        <w:rPr>
          <w:rFonts w:ascii="Arial" w:eastAsia="Times New Roman" w:hAnsi="Arial" w:cs="Arial"/>
          <w:color w:val="333333"/>
          <w:sz w:val="20"/>
          <w:szCs w:val="20"/>
        </w:rPr>
        <w:t>V</w:t>
      </w:r>
      <w:r w:rsidRPr="00B71713">
        <w:rPr>
          <w:rFonts w:ascii="Arial" w:eastAsia="Times New Roman" w:hAnsi="Arial" w:cs="Arial"/>
          <w:color w:val="333333"/>
          <w:sz w:val="20"/>
          <w:szCs w:val="20"/>
          <w:lang w:val="vi-VN"/>
        </w:rPr>
        <w:t>iệc đăng tải, cập nhật, bổ sung, sửa đổi, quản lý, khai thác, sử dụng</w:t>
      </w:r>
      <w:r w:rsidRPr="00B71713">
        <w:rPr>
          <w:rFonts w:ascii="Arial" w:eastAsia="Times New Roman" w:hAnsi="Arial" w:cs="Arial"/>
          <w:color w:val="333333"/>
          <w:sz w:val="20"/>
        </w:rPr>
        <w:t> </w:t>
      </w:r>
      <w:r w:rsidRPr="00B71713">
        <w:rPr>
          <w:rFonts w:ascii="Arial" w:eastAsia="Times New Roman" w:hAnsi="Arial" w:cs="Arial"/>
          <w:color w:val="333333"/>
          <w:sz w:val="20"/>
          <w:szCs w:val="20"/>
        </w:rPr>
        <w:t>và</w:t>
      </w:r>
      <w:r w:rsidRPr="00B71713">
        <w:rPr>
          <w:rFonts w:ascii="Arial" w:eastAsia="Times New Roman" w:hAnsi="Arial" w:cs="Arial"/>
          <w:color w:val="333333"/>
          <w:sz w:val="20"/>
          <w:lang w:val="vi-VN"/>
        </w:rPr>
        <w:t> </w:t>
      </w:r>
      <w:r w:rsidRPr="00B71713">
        <w:rPr>
          <w:rFonts w:ascii="Arial" w:eastAsia="Times New Roman" w:hAnsi="Arial" w:cs="Arial"/>
          <w:color w:val="333333"/>
          <w:sz w:val="20"/>
          <w:szCs w:val="20"/>
          <w:lang w:val="vi-VN"/>
        </w:rPr>
        <w:t>cung cấp thông tin của người phải thi hành án chưa có điều kiện thi hành án</w:t>
      </w:r>
      <w:r w:rsidRPr="00B71713">
        <w:rPr>
          <w:rFonts w:ascii="Arial" w:eastAsia="Times New Roman" w:hAnsi="Arial" w:cs="Arial"/>
          <w:color w:val="333333"/>
          <w:sz w:val="20"/>
        </w:rPr>
        <w:t> </w:t>
      </w:r>
      <w:r w:rsidRPr="00B71713">
        <w:rPr>
          <w:rFonts w:ascii="Arial" w:eastAsia="Times New Roman" w:hAnsi="Arial" w:cs="Arial"/>
          <w:color w:val="333333"/>
          <w:sz w:val="20"/>
          <w:szCs w:val="20"/>
        </w:rPr>
        <w:t>trên Trang thông tin điện tử của Cục Thi hành án dân sự và Cổng thông tin điện tử của Tổng cục Thi hành án dân sự thuộc Bộ Tư pháp;</w:t>
      </w:r>
    </w:p>
    <w:p w:rsidR="00B71713" w:rsidRPr="00B71713" w:rsidRDefault="00B71713" w:rsidP="00B71713">
      <w:pPr>
        <w:shd w:val="clear" w:color="auto" w:fill="FFFFFF"/>
        <w:spacing w:before="120" w:after="120" w:line="257" w:lineRule="atLeast"/>
        <w:jc w:val="both"/>
        <w:rPr>
          <w:rFonts w:eastAsia="Times New Roman" w:cs="Times New Roman"/>
          <w:color w:val="333333"/>
          <w:sz w:val="24"/>
          <w:szCs w:val="24"/>
        </w:rPr>
      </w:pPr>
      <w:r w:rsidRPr="00B71713">
        <w:rPr>
          <w:rFonts w:ascii="Arial" w:eastAsia="Times New Roman" w:hAnsi="Arial" w:cs="Arial"/>
          <w:color w:val="333333"/>
          <w:sz w:val="20"/>
          <w:szCs w:val="20"/>
        </w:rPr>
        <w:t>Thực hiện một số thủ tục về quản lý hành chính trong thi hành án dân sự, gồm: giao nhận, bảo quản, xử lý vật chứng, tài sản kê biên, tạm giữ; thu, chi tiền thi hành án; chế độ kiểm tra và báo cáo về thi hành án dân sự;</w:t>
      </w:r>
    </w:p>
    <w:p w:rsidR="00B71713" w:rsidRPr="00B71713" w:rsidRDefault="00B71713" w:rsidP="00B71713">
      <w:pPr>
        <w:shd w:val="clear" w:color="auto" w:fill="FFFFFF"/>
        <w:spacing w:before="120" w:after="120" w:line="257" w:lineRule="atLeast"/>
        <w:jc w:val="both"/>
        <w:rPr>
          <w:rFonts w:eastAsia="Times New Roman" w:cs="Times New Roman"/>
          <w:color w:val="333333"/>
          <w:sz w:val="24"/>
          <w:szCs w:val="24"/>
        </w:rPr>
      </w:pPr>
      <w:r w:rsidRPr="00B71713">
        <w:rPr>
          <w:rFonts w:ascii="Arial" w:eastAsia="Times New Roman" w:hAnsi="Arial" w:cs="Arial"/>
          <w:color w:val="333333"/>
          <w:sz w:val="20"/>
          <w:szCs w:val="20"/>
        </w:rPr>
        <w:t>Lập, sử dụng, bảo quản và lưu trữ sổ, hồ sơ thi hành án; các loại biểu mẫu nghiệp vụ; việc quản lý, sử dụng biểu mẫu nghiệp vụ thi hành án dân sự;</w:t>
      </w:r>
    </w:p>
    <w:p w:rsidR="00B71713" w:rsidRPr="00B71713" w:rsidRDefault="00B71713" w:rsidP="00B71713">
      <w:pPr>
        <w:shd w:val="clear" w:color="auto" w:fill="FFFFFF"/>
        <w:spacing w:before="120" w:after="120" w:line="257" w:lineRule="atLeast"/>
        <w:jc w:val="both"/>
        <w:rPr>
          <w:rFonts w:eastAsia="Times New Roman" w:cs="Times New Roman"/>
          <w:color w:val="333333"/>
          <w:sz w:val="24"/>
          <w:szCs w:val="24"/>
        </w:rPr>
      </w:pPr>
      <w:r w:rsidRPr="00B71713">
        <w:rPr>
          <w:rFonts w:ascii="Arial" w:eastAsia="Times New Roman" w:hAnsi="Arial" w:cs="Arial"/>
          <w:color w:val="333333"/>
          <w:sz w:val="20"/>
          <w:szCs w:val="20"/>
        </w:rPr>
        <w:t>Thông tư quy định về nội dung, hình thức</w:t>
      </w:r>
      <w:r w:rsidRPr="00B71713">
        <w:rPr>
          <w:rFonts w:ascii="Arial" w:eastAsia="Times New Roman" w:hAnsi="Arial" w:cs="Arial"/>
          <w:color w:val="333333"/>
          <w:sz w:val="20"/>
        </w:rPr>
        <w:t> </w:t>
      </w:r>
      <w:r w:rsidRPr="00B71713">
        <w:rPr>
          <w:rFonts w:ascii="Arial" w:eastAsia="Times New Roman" w:hAnsi="Arial" w:cs="Arial"/>
          <w:color w:val="333333"/>
          <w:sz w:val="20"/>
          <w:szCs w:val="20"/>
          <w:lang w:val="vi-VN"/>
        </w:rPr>
        <w:t>công khai</w:t>
      </w:r>
      <w:r w:rsidRPr="00B71713">
        <w:rPr>
          <w:rFonts w:ascii="Arial" w:eastAsia="Times New Roman" w:hAnsi="Arial" w:cs="Arial"/>
          <w:color w:val="333333"/>
          <w:sz w:val="20"/>
        </w:rPr>
        <w:t> </w:t>
      </w:r>
      <w:r w:rsidRPr="00B71713">
        <w:rPr>
          <w:rFonts w:ascii="Arial" w:eastAsia="Times New Roman" w:hAnsi="Arial" w:cs="Arial"/>
          <w:color w:val="333333"/>
          <w:sz w:val="20"/>
          <w:szCs w:val="20"/>
        </w:rPr>
        <w:t>thông tin của người phải thi hành án chưa có điều kiện thi hành theo đó:</w:t>
      </w:r>
    </w:p>
    <w:p w:rsidR="00B71713" w:rsidRPr="00B71713" w:rsidRDefault="00B71713" w:rsidP="00B71713">
      <w:pPr>
        <w:shd w:val="clear" w:color="auto" w:fill="FFFFFF"/>
        <w:spacing w:before="120" w:after="120" w:line="257" w:lineRule="atLeast"/>
        <w:jc w:val="both"/>
        <w:rPr>
          <w:rFonts w:eastAsia="Times New Roman" w:cs="Times New Roman"/>
          <w:color w:val="333333"/>
          <w:sz w:val="24"/>
          <w:szCs w:val="24"/>
        </w:rPr>
      </w:pPr>
      <w:r w:rsidRPr="00B71713">
        <w:rPr>
          <w:rFonts w:ascii="Arial" w:eastAsia="Times New Roman" w:hAnsi="Arial" w:cs="Arial"/>
          <w:color w:val="333333"/>
          <w:sz w:val="20"/>
          <w:szCs w:val="20"/>
        </w:rPr>
        <w:t>Nội dung</w:t>
      </w:r>
      <w:r w:rsidRPr="00B71713">
        <w:rPr>
          <w:rFonts w:ascii="Arial" w:eastAsia="Times New Roman" w:hAnsi="Arial" w:cs="Arial"/>
          <w:color w:val="333333"/>
          <w:sz w:val="20"/>
        </w:rPr>
        <w:t> </w:t>
      </w:r>
      <w:r w:rsidRPr="00B71713">
        <w:rPr>
          <w:rFonts w:ascii="Arial" w:eastAsia="Times New Roman" w:hAnsi="Arial" w:cs="Arial"/>
          <w:color w:val="333333"/>
          <w:sz w:val="20"/>
          <w:szCs w:val="20"/>
          <w:lang w:val="vi-VN"/>
        </w:rPr>
        <w:t>công khai</w:t>
      </w:r>
      <w:r w:rsidRPr="00B71713">
        <w:rPr>
          <w:rFonts w:ascii="Arial" w:eastAsia="Times New Roman" w:hAnsi="Arial" w:cs="Arial"/>
          <w:color w:val="333333"/>
          <w:sz w:val="20"/>
        </w:rPr>
        <w:t> </w:t>
      </w:r>
      <w:r w:rsidRPr="00B71713">
        <w:rPr>
          <w:rFonts w:ascii="Arial" w:eastAsia="Times New Roman" w:hAnsi="Arial" w:cs="Arial"/>
          <w:color w:val="333333"/>
          <w:sz w:val="20"/>
          <w:szCs w:val="20"/>
        </w:rPr>
        <w:t>thông tin của người phải thi hành án chưa có điều kiện thi hành gồm các thông tin cơ bản: họ, tên, địa chỉ của người phải thi hành án;</w:t>
      </w:r>
      <w:r w:rsidRPr="00B71713">
        <w:rPr>
          <w:rFonts w:ascii="Arial" w:eastAsia="Times New Roman" w:hAnsi="Arial" w:cs="Arial"/>
          <w:color w:val="333333"/>
          <w:sz w:val="20"/>
        </w:rPr>
        <w:t> </w:t>
      </w:r>
      <w:r w:rsidRPr="00B71713">
        <w:rPr>
          <w:rFonts w:ascii="Arial" w:eastAsia="Times New Roman" w:hAnsi="Arial" w:cs="Arial"/>
          <w:color w:val="333333"/>
          <w:sz w:val="20"/>
          <w:szCs w:val="20"/>
        </w:rPr>
        <w:t>số bản án, quyết định của Tòa án, quyết định xử lý vụ việc cạnh tranh của Hội đồng xử lý vụ việc cạnh tranh, phán quyết, quyết định của Trọng tài thương mại; quyết định thi hành án; nghĩa vụ chưa có điều kiện thi hành và lý do chưa có điều kiện thi hành.</w:t>
      </w:r>
    </w:p>
    <w:p w:rsidR="00B71713" w:rsidRPr="00B71713" w:rsidRDefault="00B71713" w:rsidP="00B71713">
      <w:pPr>
        <w:shd w:val="clear" w:color="auto" w:fill="FFFFFF"/>
        <w:spacing w:before="120" w:after="120" w:line="257" w:lineRule="atLeast"/>
        <w:jc w:val="both"/>
        <w:rPr>
          <w:rFonts w:eastAsia="Times New Roman" w:cs="Times New Roman"/>
          <w:color w:val="333333"/>
          <w:sz w:val="24"/>
          <w:szCs w:val="24"/>
        </w:rPr>
      </w:pPr>
      <w:r w:rsidRPr="00B71713">
        <w:rPr>
          <w:rFonts w:ascii="Arial" w:eastAsia="Times New Roman" w:hAnsi="Arial" w:cs="Arial"/>
          <w:color w:val="333333"/>
          <w:sz w:val="20"/>
          <w:szCs w:val="20"/>
          <w:lang w:val="vi-VN"/>
        </w:rPr>
        <w:t>Thông tin về</w:t>
      </w:r>
      <w:r w:rsidRPr="00B71713">
        <w:rPr>
          <w:rFonts w:ascii="Arial" w:eastAsia="Times New Roman" w:hAnsi="Arial" w:cs="Arial"/>
          <w:color w:val="333333"/>
          <w:sz w:val="20"/>
          <w:lang w:val="vi-VN"/>
        </w:rPr>
        <w:t> </w:t>
      </w:r>
      <w:r w:rsidRPr="00B71713">
        <w:rPr>
          <w:rFonts w:ascii="Arial" w:eastAsia="Times New Roman" w:hAnsi="Arial" w:cs="Arial"/>
          <w:color w:val="333333"/>
          <w:sz w:val="20"/>
          <w:szCs w:val="20"/>
        </w:rPr>
        <w:t>người phải thi hành án chưa có điều kiện thi hành</w:t>
      </w:r>
      <w:r w:rsidRPr="00B71713">
        <w:rPr>
          <w:rFonts w:ascii="Arial" w:eastAsia="Times New Roman" w:hAnsi="Arial" w:cs="Arial"/>
          <w:color w:val="333333"/>
          <w:sz w:val="20"/>
        </w:rPr>
        <w:t> </w:t>
      </w:r>
      <w:r w:rsidRPr="00B71713">
        <w:rPr>
          <w:rFonts w:ascii="Arial" w:eastAsia="Times New Roman" w:hAnsi="Arial" w:cs="Arial"/>
          <w:color w:val="333333"/>
          <w:sz w:val="20"/>
          <w:szCs w:val="20"/>
          <w:lang w:val="vi-VN"/>
        </w:rPr>
        <w:t>được</w:t>
      </w:r>
      <w:r w:rsidRPr="00B71713">
        <w:rPr>
          <w:rFonts w:ascii="Arial" w:eastAsia="Times New Roman" w:hAnsi="Arial" w:cs="Arial"/>
          <w:color w:val="333333"/>
          <w:sz w:val="20"/>
          <w:lang w:val="vi-VN"/>
        </w:rPr>
        <w:t> </w:t>
      </w:r>
      <w:r w:rsidRPr="00B71713">
        <w:rPr>
          <w:rFonts w:ascii="Arial" w:eastAsia="Times New Roman" w:hAnsi="Arial" w:cs="Arial"/>
          <w:color w:val="333333"/>
          <w:sz w:val="20"/>
          <w:szCs w:val="20"/>
        </w:rPr>
        <w:t>công khai bằng hình thức</w:t>
      </w:r>
      <w:r w:rsidRPr="00B71713">
        <w:rPr>
          <w:rFonts w:ascii="Arial" w:eastAsia="Times New Roman" w:hAnsi="Arial" w:cs="Arial"/>
          <w:color w:val="333333"/>
          <w:sz w:val="20"/>
        </w:rPr>
        <w:t> </w:t>
      </w:r>
      <w:r w:rsidRPr="00B71713">
        <w:rPr>
          <w:rFonts w:ascii="Arial" w:eastAsia="Times New Roman" w:hAnsi="Arial" w:cs="Arial"/>
          <w:color w:val="333333"/>
          <w:sz w:val="20"/>
          <w:szCs w:val="20"/>
          <w:lang w:val="vi-VN"/>
        </w:rPr>
        <w:t>đăng tải</w:t>
      </w:r>
      <w:r w:rsidRPr="00B71713">
        <w:rPr>
          <w:rFonts w:ascii="Arial" w:eastAsia="Times New Roman" w:hAnsi="Arial" w:cs="Arial"/>
          <w:color w:val="333333"/>
          <w:sz w:val="20"/>
          <w:lang w:val="vi-VN"/>
        </w:rPr>
        <w:t> </w:t>
      </w:r>
      <w:r w:rsidRPr="00B71713">
        <w:rPr>
          <w:rFonts w:ascii="Arial" w:eastAsia="Times New Roman" w:hAnsi="Arial" w:cs="Arial"/>
          <w:color w:val="333333"/>
          <w:sz w:val="20"/>
          <w:szCs w:val="20"/>
        </w:rPr>
        <w:t>và tích hợp tại mục</w:t>
      </w:r>
      <w:r w:rsidRPr="00B71713">
        <w:rPr>
          <w:rFonts w:ascii="Arial" w:eastAsia="Times New Roman" w:hAnsi="Arial" w:cs="Arial"/>
          <w:color w:val="333333"/>
          <w:sz w:val="20"/>
        </w:rPr>
        <w:t> </w:t>
      </w:r>
      <w:r w:rsidRPr="00B71713">
        <w:rPr>
          <w:rFonts w:ascii="Arial" w:eastAsia="Times New Roman" w:hAnsi="Arial" w:cs="Arial"/>
          <w:i/>
          <w:iCs/>
          <w:color w:val="333333"/>
          <w:sz w:val="20"/>
          <w:szCs w:val="20"/>
        </w:rPr>
        <w:t>“</w:t>
      </w:r>
      <w:r w:rsidRPr="00B71713">
        <w:rPr>
          <w:rFonts w:ascii="Arial" w:eastAsia="Times New Roman" w:hAnsi="Arial" w:cs="Arial"/>
          <w:i/>
          <w:iCs/>
          <w:color w:val="333333"/>
          <w:sz w:val="20"/>
          <w:szCs w:val="20"/>
          <w:lang w:val="vi-VN"/>
        </w:rPr>
        <w:t>Danh sách người phải thi hành án chưa có điều kiện thi hành</w:t>
      </w:r>
      <w:r w:rsidRPr="00B71713">
        <w:rPr>
          <w:rFonts w:ascii="Arial" w:eastAsia="Times New Roman" w:hAnsi="Arial" w:cs="Arial"/>
          <w:i/>
          <w:iCs/>
          <w:color w:val="333333"/>
          <w:sz w:val="20"/>
          <w:szCs w:val="20"/>
        </w:rPr>
        <w:t>”</w:t>
      </w:r>
      <w:r w:rsidRPr="00B71713">
        <w:rPr>
          <w:rFonts w:ascii="Arial" w:eastAsia="Times New Roman" w:hAnsi="Arial" w:cs="Arial"/>
          <w:color w:val="333333"/>
          <w:sz w:val="20"/>
        </w:rPr>
        <w:t> </w:t>
      </w:r>
      <w:r w:rsidRPr="00B71713">
        <w:rPr>
          <w:rFonts w:ascii="Arial" w:eastAsia="Times New Roman" w:hAnsi="Arial" w:cs="Arial"/>
          <w:color w:val="333333"/>
          <w:sz w:val="20"/>
          <w:szCs w:val="20"/>
        </w:rPr>
        <w:t>trên Trang thông tin điện tử của Cục Thi hành án dân sự và Cổng thông tin điện tử của Tổng cục Thi hành án dân sự thuộc Bộ Tư pháp.</w:t>
      </w:r>
    </w:p>
    <w:p w:rsidR="00B71713" w:rsidRPr="00B71713" w:rsidRDefault="00B71713" w:rsidP="00B71713">
      <w:pPr>
        <w:shd w:val="clear" w:color="auto" w:fill="FFFFFF"/>
        <w:spacing w:before="120" w:after="120" w:line="257" w:lineRule="atLeast"/>
        <w:jc w:val="both"/>
        <w:rPr>
          <w:rFonts w:eastAsia="Times New Roman" w:cs="Times New Roman"/>
          <w:color w:val="333333"/>
          <w:sz w:val="24"/>
          <w:szCs w:val="24"/>
        </w:rPr>
      </w:pPr>
      <w:r w:rsidRPr="00B71713">
        <w:rPr>
          <w:rFonts w:ascii="Arial" w:eastAsia="Times New Roman" w:hAnsi="Arial" w:cs="Arial"/>
          <w:color w:val="333333"/>
          <w:sz w:val="20"/>
          <w:szCs w:val="20"/>
          <w:lang w:val="nl-NL"/>
        </w:rPr>
        <w:t>Thông tư cũng quy định v</w:t>
      </w:r>
      <w:r w:rsidRPr="00B71713">
        <w:rPr>
          <w:rFonts w:ascii="Arial" w:eastAsia="Times New Roman" w:hAnsi="Arial" w:cs="Arial"/>
          <w:color w:val="333333"/>
          <w:sz w:val="20"/>
          <w:szCs w:val="20"/>
        </w:rPr>
        <w:t>ề việc</w:t>
      </w:r>
      <w:r w:rsidRPr="00B71713">
        <w:rPr>
          <w:rFonts w:ascii="Arial" w:eastAsia="Times New Roman" w:hAnsi="Arial" w:cs="Arial"/>
          <w:color w:val="333333"/>
          <w:sz w:val="20"/>
        </w:rPr>
        <w:t> </w:t>
      </w:r>
      <w:r w:rsidRPr="00B71713">
        <w:rPr>
          <w:rFonts w:ascii="Arial" w:eastAsia="Times New Roman" w:hAnsi="Arial" w:cs="Arial"/>
          <w:color w:val="333333"/>
          <w:sz w:val="20"/>
          <w:szCs w:val="20"/>
          <w:lang w:val="nl-NL"/>
        </w:rPr>
        <w:t>ứng dụng công nghệ thông tin trong thi hành án dân sự theo đó:</w:t>
      </w:r>
    </w:p>
    <w:p w:rsidR="00B71713" w:rsidRPr="00B71713" w:rsidRDefault="00B71713" w:rsidP="00B71713">
      <w:pPr>
        <w:shd w:val="clear" w:color="auto" w:fill="FFFFFF"/>
        <w:spacing w:before="120" w:after="120" w:line="257" w:lineRule="atLeast"/>
        <w:jc w:val="both"/>
        <w:rPr>
          <w:rFonts w:eastAsia="Times New Roman" w:cs="Times New Roman"/>
          <w:color w:val="333333"/>
          <w:sz w:val="24"/>
          <w:szCs w:val="24"/>
        </w:rPr>
      </w:pPr>
      <w:r w:rsidRPr="00B71713">
        <w:rPr>
          <w:rFonts w:ascii="Arial" w:eastAsia="Times New Roman" w:hAnsi="Arial" w:cs="Arial"/>
          <w:color w:val="333333"/>
          <w:sz w:val="20"/>
          <w:szCs w:val="20"/>
          <w:lang w:val="nl-NL"/>
        </w:rPr>
        <w:t>Tổng cục Thi hành án dân sự, các cơ quan thi hành án dân sự địa phương thực hiện ứng dụng công nghệ thông tin trong việc công khai thông tin của người phải thi hành án chưa có điều kiện thi hành án bảo đảm đúng nguyên tắc, hình thức, trình tự, thủ tục quy định tại Điều 3, 4, 5 và 6 của Thông tư 01/2016/TT-BTP.</w:t>
      </w:r>
    </w:p>
    <w:p w:rsidR="00B71713" w:rsidRPr="00B71713" w:rsidRDefault="00B71713" w:rsidP="00B71713">
      <w:pPr>
        <w:shd w:val="clear" w:color="auto" w:fill="FFFFFF"/>
        <w:spacing w:before="120" w:after="120" w:line="257" w:lineRule="atLeast"/>
        <w:jc w:val="both"/>
        <w:rPr>
          <w:rFonts w:eastAsia="Times New Roman" w:cs="Times New Roman"/>
          <w:color w:val="333333"/>
          <w:sz w:val="24"/>
          <w:szCs w:val="24"/>
        </w:rPr>
      </w:pPr>
      <w:r w:rsidRPr="00B71713">
        <w:rPr>
          <w:rFonts w:ascii="Arial" w:eastAsia="Times New Roman" w:hAnsi="Arial" w:cs="Arial"/>
          <w:color w:val="333333"/>
          <w:spacing w:val="-2"/>
          <w:sz w:val="20"/>
          <w:szCs w:val="20"/>
          <w:lang w:val="nl-NL"/>
        </w:rPr>
        <w:t>Tổng cục Thi hành án dân sự chủ trì, phối hợp với Cục Công nghệ thông tin nghiên cứu, xây dựng đề án, xác định cụ thể lộ trình ứng dụng công nghệ thông tin trong thực hiện một số thủ tục về quản lý hành chính trong hoạt động thi hành án dân sự và quản lý, sử dụng sổ sách, hồ sơ, biểu mẫu thi hành án dân sự</w:t>
      </w:r>
      <w:r w:rsidRPr="00B71713">
        <w:rPr>
          <w:rFonts w:ascii="Arial" w:eastAsia="Times New Roman" w:hAnsi="Arial" w:cs="Arial"/>
          <w:color w:val="333333"/>
          <w:sz w:val="20"/>
          <w:szCs w:val="20"/>
          <w:lang w:val="nl-NL"/>
        </w:rPr>
        <w:t>.</w:t>
      </w:r>
    </w:p>
    <w:p w:rsidR="00B71713" w:rsidRPr="00B71713" w:rsidRDefault="00B71713" w:rsidP="00B71713">
      <w:pPr>
        <w:shd w:val="clear" w:color="auto" w:fill="FFFFFF"/>
        <w:spacing w:before="120" w:after="120" w:line="257" w:lineRule="atLeast"/>
        <w:jc w:val="both"/>
        <w:rPr>
          <w:rFonts w:eastAsia="Times New Roman" w:cs="Times New Roman"/>
          <w:color w:val="333333"/>
          <w:sz w:val="24"/>
          <w:szCs w:val="24"/>
        </w:rPr>
      </w:pPr>
      <w:r w:rsidRPr="00B71713">
        <w:rPr>
          <w:rFonts w:ascii="Arial" w:eastAsia="Times New Roman" w:hAnsi="Arial" w:cs="Arial"/>
          <w:color w:val="333333"/>
          <w:sz w:val="20"/>
          <w:szCs w:val="20"/>
          <w:lang w:val="nl-NL"/>
        </w:rPr>
        <w:t>Thông tư này có hiệu lực từ ngày 16 tháng</w:t>
      </w:r>
      <w:r w:rsidRPr="00B71713">
        <w:rPr>
          <w:rFonts w:ascii="Arial" w:eastAsia="Times New Roman" w:hAnsi="Arial" w:cs="Arial"/>
          <w:color w:val="333333"/>
          <w:sz w:val="20"/>
          <w:lang w:val="nl-NL"/>
        </w:rPr>
        <w:t> </w:t>
      </w:r>
      <w:bookmarkStart w:id="0" w:name="_GoBack"/>
      <w:bookmarkEnd w:id="0"/>
      <w:r w:rsidRPr="00B71713">
        <w:rPr>
          <w:rFonts w:ascii="Arial" w:eastAsia="Times New Roman" w:hAnsi="Arial" w:cs="Arial"/>
          <w:color w:val="333333"/>
          <w:sz w:val="20"/>
          <w:szCs w:val="20"/>
          <w:lang w:val="nl-NL"/>
        </w:rPr>
        <w:t>3 năm 2016 và thay thế Thông tư số 09/2011/TT-BTP ngày 30/5/2011 của Bộ Tư pháp về việc ban hành và hướng dẫn việc quản lý, sử dụng các loại biểu mẫu nghiệp vụ thi hành án dân sự và Thông tư số 22/2011/TT-BTP ngày 02/12/2011 của Bộ Tư pháp hướng dẫn thực hiện một số thủ tục trong quản lý hành chính về thi hành án dân sự.</w:t>
      </w:r>
    </w:p>
    <w:p w:rsidR="00902144" w:rsidRDefault="00902144"/>
    <w:sectPr w:rsidR="00902144" w:rsidSect="00782DF3">
      <w:pgSz w:w="11907" w:h="16840" w:code="9"/>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compat/>
  <w:rsids>
    <w:rsidRoot w:val="00B71713"/>
    <w:rsid w:val="00782DF3"/>
    <w:rsid w:val="00902144"/>
    <w:rsid w:val="00B71713"/>
    <w:rsid w:val="00C01B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144"/>
  </w:style>
  <w:style w:type="paragraph" w:styleId="Heading1">
    <w:name w:val="heading 1"/>
    <w:basedOn w:val="Normal"/>
    <w:link w:val="Heading1Char"/>
    <w:uiPriority w:val="9"/>
    <w:qFormat/>
    <w:rsid w:val="00B71713"/>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1713"/>
    <w:rPr>
      <w:rFonts w:eastAsia="Times New Roman" w:cs="Times New Roman"/>
      <w:b/>
      <w:bCs/>
      <w:kern w:val="36"/>
      <w:sz w:val="48"/>
      <w:szCs w:val="48"/>
    </w:rPr>
  </w:style>
  <w:style w:type="character" w:customStyle="1" w:styleId="date">
    <w:name w:val="date"/>
    <w:basedOn w:val="DefaultParagraphFont"/>
    <w:rsid w:val="00B71713"/>
  </w:style>
  <w:style w:type="character" w:styleId="Hyperlink">
    <w:name w:val="Hyperlink"/>
    <w:basedOn w:val="DefaultParagraphFont"/>
    <w:uiPriority w:val="99"/>
    <w:semiHidden/>
    <w:unhideWhenUsed/>
    <w:rsid w:val="00B71713"/>
    <w:rPr>
      <w:color w:val="0000FF"/>
      <w:u w:val="single"/>
    </w:rPr>
  </w:style>
  <w:style w:type="character" w:customStyle="1" w:styleId="apple-converted-space">
    <w:name w:val="apple-converted-space"/>
    <w:basedOn w:val="DefaultParagraphFont"/>
    <w:rsid w:val="00B71713"/>
  </w:style>
</w:styles>
</file>

<file path=word/webSettings.xml><?xml version="1.0" encoding="utf-8"?>
<w:webSettings xmlns:r="http://schemas.openxmlformats.org/officeDocument/2006/relationships" xmlns:w="http://schemas.openxmlformats.org/wordprocessingml/2006/main">
  <w:divs>
    <w:div w:id="868294309">
      <w:bodyDiv w:val="1"/>
      <w:marLeft w:val="0"/>
      <w:marRight w:val="0"/>
      <w:marTop w:val="0"/>
      <w:marBottom w:val="0"/>
      <w:divBdr>
        <w:top w:val="none" w:sz="0" w:space="0" w:color="auto"/>
        <w:left w:val="none" w:sz="0" w:space="0" w:color="auto"/>
        <w:bottom w:val="none" w:sz="0" w:space="0" w:color="auto"/>
        <w:right w:val="none" w:sz="0" w:space="0" w:color="auto"/>
      </w:divBdr>
      <w:divsChild>
        <w:div w:id="1828936104">
          <w:marLeft w:val="0"/>
          <w:marRight w:val="0"/>
          <w:marTop w:val="0"/>
          <w:marBottom w:val="0"/>
          <w:divBdr>
            <w:top w:val="none" w:sz="0" w:space="0" w:color="auto"/>
            <w:left w:val="none" w:sz="0" w:space="0" w:color="auto"/>
            <w:bottom w:val="none" w:sz="0" w:space="0" w:color="auto"/>
            <w:right w:val="none" w:sz="0" w:space="0" w:color="auto"/>
          </w:divBdr>
        </w:div>
        <w:div w:id="596403432">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vbpl.vn/TW/Pages/vbpq-toanvan.aspx?ItemID=97090"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3EFD07-EAD2-44C2-9EE4-116E4641AD1A}"/>
</file>

<file path=customXml/itemProps2.xml><?xml version="1.0" encoding="utf-8"?>
<ds:datastoreItem xmlns:ds="http://schemas.openxmlformats.org/officeDocument/2006/customXml" ds:itemID="{8427E152-0DEC-41E6-BB54-49AC9C7EC3AB}"/>
</file>

<file path=customXml/itemProps3.xml><?xml version="1.0" encoding="utf-8"?>
<ds:datastoreItem xmlns:ds="http://schemas.openxmlformats.org/officeDocument/2006/customXml" ds:itemID="{796DFFB7-30BC-459B-9253-6D487048D86E}"/>
</file>

<file path=docProps/app.xml><?xml version="1.0" encoding="utf-8"?>
<Properties xmlns="http://schemas.openxmlformats.org/officeDocument/2006/extended-properties" xmlns:vt="http://schemas.openxmlformats.org/officeDocument/2006/docPropsVTypes">
  <Template>Normal</Template>
  <TotalTime>1</TotalTime>
  <Pages>1</Pages>
  <Words>454</Words>
  <Characters>2589</Characters>
  <Application>Microsoft Office Word</Application>
  <DocSecurity>0</DocSecurity>
  <Lines>21</Lines>
  <Paragraphs>6</Paragraphs>
  <ScaleCrop>false</ScaleCrop>
  <Company>Microsoft</Company>
  <LinksUpToDate>false</LinksUpToDate>
  <CharactersWithSpaces>3037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2016-03-16T03:58:00Z</dcterms:created>
  <dcterms:modified xsi:type="dcterms:W3CDTF">2016-03-16T03:59:00Z</dcterms:modified>
</cp:coreProperties>
</file>